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CDCD" w14:textId="77777777" w:rsidR="00D16C7A" w:rsidRDefault="00494E1C" w:rsidP="00494E1C">
      <w:pPr>
        <w:jc w:val="center"/>
      </w:pPr>
      <w:r>
        <w:rPr>
          <w:noProof/>
          <w:lang w:val="en-US"/>
        </w:rPr>
        <w:drawing>
          <wp:inline distT="0" distB="0" distL="0" distR="0" wp14:anchorId="009373EA" wp14:editId="08D46370">
            <wp:extent cx="2583537" cy="118292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00" cy="11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F403" w14:textId="1CC1111F" w:rsidR="00494E1C" w:rsidRPr="00792023" w:rsidRDefault="00F1307F" w:rsidP="008E6B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Pobreza, </w:t>
      </w:r>
      <w:r w:rsidR="00792023">
        <w:rPr>
          <w:b/>
          <w:bCs/>
          <w:sz w:val="36"/>
          <w:szCs w:val="36"/>
        </w:rPr>
        <w:t>inequidad</w:t>
      </w:r>
      <w:r>
        <w:rPr>
          <w:b/>
          <w:bCs/>
          <w:sz w:val="36"/>
          <w:szCs w:val="36"/>
        </w:rPr>
        <w:t xml:space="preserve"> e institucionalidad</w:t>
      </w:r>
      <w:r w:rsidR="00792023">
        <w:rPr>
          <w:b/>
          <w:bCs/>
          <w:sz w:val="36"/>
          <w:szCs w:val="36"/>
        </w:rPr>
        <w:t xml:space="preserve"> amenazan el </w:t>
      </w:r>
      <w:r w:rsidR="008E6B99" w:rsidRPr="00792023">
        <w:rPr>
          <w:b/>
          <w:bCs/>
          <w:sz w:val="36"/>
          <w:szCs w:val="36"/>
        </w:rPr>
        <w:t xml:space="preserve">Derecho Humano a la Alimentación </w:t>
      </w:r>
      <w:r w:rsidR="00792023" w:rsidRPr="00792023">
        <w:rPr>
          <w:b/>
          <w:bCs/>
          <w:sz w:val="36"/>
          <w:szCs w:val="36"/>
        </w:rPr>
        <w:t>Adecuada</w:t>
      </w:r>
      <w:r w:rsidR="00792023">
        <w:rPr>
          <w:b/>
          <w:bCs/>
          <w:sz w:val="36"/>
          <w:szCs w:val="36"/>
        </w:rPr>
        <w:t xml:space="preserve"> en C</w:t>
      </w:r>
      <w:r w:rsidR="00792023" w:rsidRPr="00792023">
        <w:rPr>
          <w:b/>
          <w:bCs/>
          <w:sz w:val="36"/>
          <w:szCs w:val="36"/>
        </w:rPr>
        <w:t>entro</w:t>
      </w:r>
      <w:r w:rsidR="00792023">
        <w:rPr>
          <w:b/>
          <w:bCs/>
          <w:sz w:val="36"/>
          <w:szCs w:val="36"/>
        </w:rPr>
        <w:t xml:space="preserve"> Amé</w:t>
      </w:r>
      <w:r w:rsidR="00792023" w:rsidRPr="00792023">
        <w:rPr>
          <w:b/>
          <w:bCs/>
          <w:sz w:val="36"/>
          <w:szCs w:val="36"/>
        </w:rPr>
        <w:t>rica</w:t>
      </w:r>
    </w:p>
    <w:p w14:paraId="2BE7D5F5" w14:textId="77777777" w:rsidR="00494E1C" w:rsidRDefault="00872558" w:rsidP="00494E1C">
      <w:pPr>
        <w:jc w:val="both"/>
      </w:pPr>
      <w:r>
        <w:t>Consumidores en Acción de Centroamérica y El Caribe, es un espacio integrado por organizaciones de consumidores de la región</w:t>
      </w:r>
      <w:r w:rsidR="00023C37">
        <w:t xml:space="preserve"> (Panamá, Costa Rica, Nicaragua, Honduras, El Salvador y Guatemala)</w:t>
      </w:r>
      <w:r>
        <w:t>, que tienen como misión “</w:t>
      </w:r>
      <w:r w:rsidRPr="00872558">
        <w:t>Aportar a la construcción de un nuevo modelo de consumo sustentable con responsabilidad</w:t>
      </w:r>
      <w:r>
        <w:t>”</w:t>
      </w:r>
      <w:r w:rsidR="00770AE5">
        <w:t>.</w:t>
      </w:r>
    </w:p>
    <w:p w14:paraId="7807DAB0" w14:textId="77777777" w:rsidR="00770AE5" w:rsidRPr="00D40B48" w:rsidRDefault="00770AE5" w:rsidP="00770AE5">
      <w:pPr>
        <w:shd w:val="clear" w:color="auto" w:fill="FFFFFF" w:themeFill="background1"/>
        <w:spacing w:after="0" w:line="240" w:lineRule="auto"/>
        <w:jc w:val="both"/>
        <w:rPr>
          <w:rStyle w:val="tlid-translation"/>
          <w:rFonts w:cstheme="minorHAnsi"/>
          <w:lang w:val="es-ES"/>
        </w:rPr>
      </w:pPr>
      <w:r w:rsidRPr="00D40B48">
        <w:rPr>
          <w:rStyle w:val="tlid-translation"/>
          <w:rFonts w:cstheme="minorHAnsi"/>
          <w:lang w:val="es-ES"/>
        </w:rPr>
        <w:t xml:space="preserve">América Central carece de mercados y políticas regionales adecuados para apoyar la agricultura sostenible y los sistemas de consumo de alimentos saludables. Los </w:t>
      </w:r>
      <w:r w:rsidRPr="00770AE5">
        <w:rPr>
          <w:rStyle w:val="tlid-translation"/>
          <w:rFonts w:cstheme="minorHAnsi"/>
          <w:b/>
          <w:bCs/>
          <w:lang w:val="es-ES"/>
        </w:rPr>
        <w:t>sistemas alimentarios sostenibles saludables</w:t>
      </w:r>
      <w:r>
        <w:rPr>
          <w:rStyle w:val="tlid-translation"/>
          <w:rFonts w:cstheme="minorHAnsi"/>
          <w:lang w:val="es-ES"/>
        </w:rPr>
        <w:t xml:space="preserve"> </w:t>
      </w:r>
      <w:r w:rsidRPr="00D40B48">
        <w:rPr>
          <w:rStyle w:val="tlid-translation"/>
          <w:rFonts w:cstheme="minorHAnsi"/>
          <w:lang w:val="es-ES"/>
        </w:rPr>
        <w:t>en América Central deben abordar múltipl</w:t>
      </w:r>
      <w:bookmarkStart w:id="0" w:name="_GoBack"/>
      <w:bookmarkEnd w:id="0"/>
      <w:r w:rsidRPr="00D40B48">
        <w:rPr>
          <w:rStyle w:val="tlid-translation"/>
          <w:rFonts w:cstheme="minorHAnsi"/>
          <w:lang w:val="es-ES"/>
        </w:rPr>
        <w:t>es desafíos, como los impactos negativos del cambio climático, el proceso de transición nutricional y la doble carga de enfermedades nutricionales, la falta de desarrollo rural integrado, las condiciones de inequidad de género, la pobreza estructural persistente, el desempleo juvenil y un aumento del proceso de migración forzada que afecta a países de la región.</w:t>
      </w:r>
    </w:p>
    <w:p w14:paraId="605D851A" w14:textId="77777777" w:rsidR="00C561C8" w:rsidRDefault="00C561C8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es-SV"/>
        </w:rPr>
      </w:pPr>
      <w:bookmarkStart w:id="1" w:name="_Hlk19711498"/>
    </w:p>
    <w:p w14:paraId="7EC81753" w14:textId="77777777" w:rsidR="00E622C1" w:rsidRDefault="00770AE5" w:rsidP="00C1545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es-SV"/>
        </w:rPr>
      </w:pPr>
      <w:r w:rsidRPr="00770AE5">
        <w:rPr>
          <w:rFonts w:eastAsia="Times New Roman" w:cstheme="minorHAnsi"/>
          <w:b/>
          <w:bCs/>
          <w:i/>
          <w:iCs/>
          <w:lang w:eastAsia="es-SV"/>
        </w:rPr>
        <w:t xml:space="preserve">a. </w:t>
      </w:r>
      <w:r w:rsidR="00C561C8">
        <w:rPr>
          <w:rFonts w:eastAsia="Times New Roman" w:cstheme="minorHAnsi"/>
          <w:b/>
          <w:bCs/>
          <w:i/>
          <w:iCs/>
          <w:lang w:eastAsia="es-SV"/>
        </w:rPr>
        <w:t xml:space="preserve">Pobreza y acceso a los alimentos.  </w:t>
      </w:r>
      <w:r w:rsidR="00C561C8">
        <w:rPr>
          <w:rFonts w:eastAsia="Times New Roman" w:cstheme="minorHAnsi"/>
          <w:lang w:eastAsia="es-SV"/>
        </w:rPr>
        <w:t>La pobreza</w:t>
      </w:r>
      <w:r w:rsidR="00E622C1">
        <w:rPr>
          <w:rStyle w:val="Refdenotaalpie"/>
          <w:rFonts w:eastAsia="Times New Roman" w:cstheme="minorHAnsi"/>
          <w:lang w:eastAsia="es-SV"/>
        </w:rPr>
        <w:footnoteReference w:id="1"/>
      </w:r>
      <w:r w:rsidR="00C561C8">
        <w:rPr>
          <w:rFonts w:eastAsia="Times New Roman" w:cstheme="minorHAnsi"/>
          <w:lang w:eastAsia="es-SV"/>
        </w:rPr>
        <w:t xml:space="preserve"> </w:t>
      </w:r>
      <w:r w:rsidR="00E622C1">
        <w:rPr>
          <w:rFonts w:eastAsia="Times New Roman" w:cstheme="minorHAnsi"/>
          <w:lang w:eastAsia="es-SV"/>
        </w:rPr>
        <w:t>afecta a</w:t>
      </w:r>
      <w:r w:rsidR="00C561C8">
        <w:rPr>
          <w:rFonts w:eastAsia="Times New Roman" w:cstheme="minorHAnsi"/>
          <w:lang w:eastAsia="es-SV"/>
        </w:rPr>
        <w:t xml:space="preserve"> unos países más que otros, </w:t>
      </w:r>
      <w:r w:rsidR="00E622C1">
        <w:rPr>
          <w:rFonts w:eastAsia="Times New Roman" w:cstheme="minorHAnsi"/>
          <w:lang w:eastAsia="es-SV"/>
        </w:rPr>
        <w:t>con respecto a</w:t>
      </w:r>
      <w:r w:rsidR="00C561C8">
        <w:rPr>
          <w:rFonts w:eastAsia="Times New Roman" w:cstheme="minorHAnsi"/>
          <w:lang w:eastAsia="es-SV"/>
        </w:rPr>
        <w:t xml:space="preserve">l acceso </w:t>
      </w:r>
      <w:r w:rsidR="00E622C1">
        <w:rPr>
          <w:rFonts w:eastAsia="Times New Roman" w:cstheme="minorHAnsi"/>
          <w:lang w:eastAsia="es-SV"/>
        </w:rPr>
        <w:t>de</w:t>
      </w:r>
      <w:r w:rsidR="00C561C8">
        <w:rPr>
          <w:rFonts w:eastAsia="Times New Roman" w:cstheme="minorHAnsi"/>
          <w:lang w:eastAsia="es-SV"/>
        </w:rPr>
        <w:t xml:space="preserve"> los alimentos.  Al compararse los salarios mínimos con </w:t>
      </w:r>
      <w:r w:rsidR="00E622C1">
        <w:rPr>
          <w:rFonts w:eastAsia="Times New Roman" w:cstheme="minorHAnsi"/>
          <w:lang w:eastAsia="es-SV"/>
        </w:rPr>
        <w:t>el</w:t>
      </w:r>
      <w:r w:rsidR="00C561C8">
        <w:rPr>
          <w:rFonts w:eastAsia="Times New Roman" w:cstheme="minorHAnsi"/>
          <w:lang w:eastAsia="es-SV"/>
        </w:rPr>
        <w:t xml:space="preserve"> costo de las canastas básicas</w:t>
      </w:r>
      <w:r w:rsidR="00C15459">
        <w:rPr>
          <w:rStyle w:val="Refdenotaalpie"/>
          <w:rFonts w:eastAsia="Times New Roman" w:cstheme="minorHAnsi"/>
          <w:lang w:eastAsia="es-SV"/>
        </w:rPr>
        <w:footnoteReference w:id="2"/>
      </w:r>
      <w:r w:rsidR="00C561C8">
        <w:rPr>
          <w:rFonts w:eastAsia="Times New Roman" w:cstheme="minorHAnsi"/>
          <w:lang w:eastAsia="es-SV"/>
        </w:rPr>
        <w:t xml:space="preserve"> en el sector urbano o comercio</w:t>
      </w:r>
      <w:r w:rsidR="00E622C1">
        <w:rPr>
          <w:rFonts w:eastAsia="Times New Roman" w:cstheme="minorHAnsi"/>
          <w:lang w:eastAsia="es-SV"/>
        </w:rPr>
        <w:t xml:space="preserve"> y el área rural</w:t>
      </w:r>
      <w:r w:rsidR="00C561C8">
        <w:rPr>
          <w:rFonts w:eastAsia="Times New Roman" w:cstheme="minorHAnsi"/>
          <w:lang w:eastAsia="es-SV"/>
        </w:rPr>
        <w:t xml:space="preserve"> las diferencias son grandes.  </w:t>
      </w:r>
    </w:p>
    <w:p w14:paraId="5D33C609" w14:textId="77777777" w:rsidR="00E622C1" w:rsidRDefault="00E622C1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es-SV"/>
        </w:rPr>
      </w:pPr>
    </w:p>
    <w:p w14:paraId="26411CEA" w14:textId="77777777" w:rsidR="00E622C1" w:rsidRDefault="00E622C1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es-SV"/>
        </w:rPr>
      </w:pPr>
      <w:r>
        <w:rPr>
          <w:rFonts w:eastAsia="Times New Roman" w:cstheme="minorHAnsi"/>
          <w:b/>
          <w:bCs/>
          <w:i/>
          <w:iCs/>
          <w:lang w:eastAsia="es-SV"/>
        </w:rPr>
        <w:t xml:space="preserve">b. </w:t>
      </w:r>
      <w:r w:rsidR="00770AE5" w:rsidRPr="00770AE5">
        <w:rPr>
          <w:rFonts w:eastAsia="Times New Roman" w:cstheme="minorHAnsi"/>
          <w:b/>
          <w:bCs/>
          <w:i/>
          <w:iCs/>
          <w:lang w:eastAsia="es-SV"/>
        </w:rPr>
        <w:t xml:space="preserve">Modelo de producción agrícola regional para el mercado exterior. </w:t>
      </w:r>
      <w:r w:rsidR="00770AE5" w:rsidRPr="00770AE5">
        <w:rPr>
          <w:rFonts w:eastAsia="Times New Roman" w:cstheme="minorHAnsi"/>
          <w:lang w:eastAsia="es-SV"/>
        </w:rPr>
        <w:t>El modelo de producción prioriza monocultivos industriales y está orientado al mercado exterior</w:t>
      </w:r>
      <w:r w:rsidR="004D0CAB" w:rsidRPr="00E622C1">
        <w:rPr>
          <w:rFonts w:eastAsia="Times New Roman" w:cstheme="minorHAnsi"/>
          <w:lang w:eastAsia="es-SV"/>
        </w:rPr>
        <w:t xml:space="preserve">, pese a que </w:t>
      </w:r>
      <w:r w:rsidR="00770AE5" w:rsidRPr="00770AE5">
        <w:rPr>
          <w:rFonts w:eastAsia="Times New Roman" w:cstheme="minorHAnsi"/>
          <w:lang w:eastAsia="es-SV"/>
        </w:rPr>
        <w:t xml:space="preserve">la agricultura familiar en la región representa aproximadamente el 50% del valor total de la producción agrícola, contribuye al 50% </w:t>
      </w:r>
      <w:sdt>
        <w:sdtPr>
          <w:rPr>
            <w:rFonts w:eastAsia="Times New Roman" w:cstheme="minorHAnsi"/>
            <w:lang w:eastAsia="es-SV"/>
          </w:rPr>
          <w:id w:val="708153490"/>
          <w:citation/>
        </w:sdtPr>
        <w:sdtEndPr/>
        <w:sdtContent>
          <w:r w:rsidR="00770AE5" w:rsidRPr="00770AE5">
            <w:rPr>
              <w:rFonts w:eastAsia="Times New Roman" w:cstheme="minorHAnsi"/>
              <w:lang w:eastAsia="es-SV"/>
            </w:rPr>
            <w:fldChar w:fldCharType="begin"/>
          </w:r>
          <w:r w:rsidR="00770AE5" w:rsidRPr="00770AE5">
            <w:rPr>
              <w:rFonts w:eastAsia="Times New Roman" w:cstheme="minorHAnsi"/>
              <w:lang w:eastAsia="es-SV"/>
            </w:rPr>
            <w:instrText xml:space="preserve"> CITATION Pro17 \l 2058 </w:instrText>
          </w:r>
          <w:r w:rsidR="00770AE5" w:rsidRPr="00770AE5">
            <w:rPr>
              <w:rFonts w:eastAsia="Times New Roman" w:cstheme="minorHAnsi"/>
              <w:lang w:eastAsia="es-SV"/>
            </w:rPr>
            <w:fldChar w:fldCharType="separate"/>
          </w:r>
          <w:r w:rsidR="00770AE5" w:rsidRPr="00770AE5">
            <w:rPr>
              <w:rFonts w:eastAsia="Times New Roman" w:cstheme="minorHAnsi"/>
              <w:lang w:eastAsia="es-SV"/>
            </w:rPr>
            <w:t>((PDRR), 2017)</w:t>
          </w:r>
          <w:r w:rsidR="00770AE5" w:rsidRPr="00770AE5">
            <w:rPr>
              <w:rFonts w:eastAsia="Times New Roman" w:cstheme="minorHAnsi"/>
              <w:lang w:eastAsia="es-SV"/>
            </w:rPr>
            <w:fldChar w:fldCharType="end"/>
          </w:r>
        </w:sdtContent>
      </w:sdt>
      <w:r w:rsidR="00770AE5" w:rsidRPr="00770AE5">
        <w:rPr>
          <w:rFonts w:eastAsia="Times New Roman" w:cstheme="minorHAnsi"/>
          <w:lang w:eastAsia="es-SV"/>
        </w:rPr>
        <w:t xml:space="preserve"> del empleo agrícola y constituye un pilar de sostenibilidad importante en las zonas rurales</w:t>
      </w:r>
      <w:r w:rsidR="004D0CAB" w:rsidRPr="00E622C1">
        <w:rPr>
          <w:rFonts w:eastAsia="Times New Roman" w:cstheme="minorHAnsi"/>
          <w:lang w:eastAsia="es-SV"/>
        </w:rPr>
        <w:t xml:space="preserve">. </w:t>
      </w:r>
      <w:r w:rsidR="00770AE5" w:rsidRPr="00770AE5">
        <w:rPr>
          <w:rFonts w:eastAsia="Times New Roman" w:cstheme="minorHAnsi"/>
          <w:lang w:eastAsia="es-SV"/>
        </w:rPr>
        <w:t xml:space="preserve"> </w:t>
      </w:r>
      <w:r w:rsidR="004D0CAB" w:rsidRPr="00E622C1">
        <w:rPr>
          <w:rFonts w:eastAsia="Times New Roman" w:cstheme="minorHAnsi"/>
          <w:lang w:eastAsia="es-SV"/>
        </w:rPr>
        <w:t>L</w:t>
      </w:r>
      <w:r w:rsidR="00770AE5" w:rsidRPr="00770AE5">
        <w:rPr>
          <w:rFonts w:eastAsia="Times New Roman" w:cstheme="minorHAnsi"/>
          <w:lang w:eastAsia="es-SV"/>
        </w:rPr>
        <w:t xml:space="preserve">as mujeres productoras representan 28% de la población rural económicamente activa (PEA) en América Central </w:t>
      </w:r>
      <w:sdt>
        <w:sdtPr>
          <w:rPr>
            <w:rFonts w:eastAsia="Times New Roman" w:cstheme="minorHAnsi"/>
            <w:lang w:eastAsia="es-SV"/>
          </w:rPr>
          <w:id w:val="441274168"/>
          <w:citation/>
        </w:sdtPr>
        <w:sdtEndPr/>
        <w:sdtContent>
          <w:r w:rsidR="00770AE5" w:rsidRPr="00770AE5">
            <w:rPr>
              <w:rFonts w:eastAsia="Times New Roman" w:cstheme="minorHAnsi"/>
              <w:lang w:eastAsia="es-SV"/>
            </w:rPr>
            <w:fldChar w:fldCharType="begin"/>
          </w:r>
          <w:r w:rsidR="00770AE5" w:rsidRPr="00770AE5">
            <w:rPr>
              <w:rFonts w:eastAsia="Times New Roman" w:cstheme="minorHAnsi"/>
              <w:lang w:eastAsia="es-SV"/>
            </w:rPr>
            <w:instrText xml:space="preserve"> CITATION Com11 \l 2058 </w:instrText>
          </w:r>
          <w:r w:rsidR="00770AE5" w:rsidRPr="00770AE5">
            <w:rPr>
              <w:rFonts w:eastAsia="Times New Roman" w:cstheme="minorHAnsi"/>
              <w:lang w:eastAsia="es-SV"/>
            </w:rPr>
            <w:fldChar w:fldCharType="separate"/>
          </w:r>
          <w:r w:rsidR="00770AE5" w:rsidRPr="00770AE5">
            <w:rPr>
              <w:rFonts w:eastAsia="Times New Roman" w:cstheme="minorHAnsi"/>
              <w:lang w:eastAsia="es-SV"/>
            </w:rPr>
            <w:t>(Comisión Económica para América Latina [CEPAL], 2011)</w:t>
          </w:r>
          <w:r w:rsidR="00770AE5" w:rsidRPr="00770AE5">
            <w:rPr>
              <w:rFonts w:eastAsia="Times New Roman" w:cstheme="minorHAnsi"/>
              <w:lang w:eastAsia="es-SV"/>
            </w:rPr>
            <w:fldChar w:fldCharType="end"/>
          </w:r>
        </w:sdtContent>
      </w:sdt>
      <w:r w:rsidR="00770AE5" w:rsidRPr="00770AE5">
        <w:rPr>
          <w:rFonts w:eastAsia="Times New Roman" w:cstheme="minorHAnsi"/>
          <w:lang w:eastAsia="es-SV"/>
        </w:rPr>
        <w:t>.</w:t>
      </w:r>
      <w:r w:rsidR="00770AE5" w:rsidRPr="00770AE5">
        <w:rPr>
          <w:rFonts w:eastAsia="Times New Roman" w:cstheme="minorHAnsi"/>
          <w:b/>
          <w:bCs/>
          <w:i/>
          <w:iCs/>
          <w:lang w:eastAsia="es-SV"/>
        </w:rPr>
        <w:t xml:space="preserve"> </w:t>
      </w:r>
    </w:p>
    <w:p w14:paraId="2AFF0816" w14:textId="77777777" w:rsidR="00E622C1" w:rsidRDefault="00E622C1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es-SV"/>
        </w:rPr>
      </w:pPr>
    </w:p>
    <w:p w14:paraId="14E60DFC" w14:textId="77777777" w:rsidR="004D0CAB" w:rsidRDefault="00E622C1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  <w:r>
        <w:rPr>
          <w:rFonts w:eastAsia="Times New Roman" w:cstheme="minorHAnsi"/>
          <w:b/>
          <w:bCs/>
          <w:i/>
          <w:iCs/>
          <w:lang w:eastAsia="es-SV"/>
        </w:rPr>
        <w:t xml:space="preserve">c. </w:t>
      </w:r>
      <w:r w:rsidR="00770AE5" w:rsidRPr="00770AE5">
        <w:rPr>
          <w:rFonts w:eastAsia="Times New Roman" w:cstheme="minorHAnsi"/>
          <w:b/>
          <w:bCs/>
          <w:i/>
          <w:iCs/>
          <w:lang w:eastAsia="es-SV"/>
        </w:rPr>
        <w:t xml:space="preserve">Impacto del cambio climático. </w:t>
      </w:r>
      <w:r w:rsidR="00770AE5" w:rsidRPr="00770AE5">
        <w:rPr>
          <w:rFonts w:eastAsia="Times New Roman" w:cstheme="minorHAnsi"/>
          <w:lang w:eastAsia="es-SV"/>
        </w:rPr>
        <w:t xml:space="preserve">En 2018, 2,2 millones de personas en El Salvador, Guatemala, Honduras y Nicaragua perdieron sus cultivos debido a las lluvias y las sequías </w:t>
      </w:r>
      <w:sdt>
        <w:sdtPr>
          <w:rPr>
            <w:rFonts w:eastAsia="Times New Roman" w:cstheme="minorHAnsi"/>
            <w:lang w:eastAsia="es-SV"/>
          </w:rPr>
          <w:id w:val="-167632311"/>
          <w:citation/>
        </w:sdtPr>
        <w:sdtEndPr/>
        <w:sdtContent>
          <w:r w:rsidR="00770AE5" w:rsidRPr="00770AE5">
            <w:rPr>
              <w:rFonts w:eastAsia="Times New Roman" w:cstheme="minorHAnsi"/>
              <w:lang w:eastAsia="es-SV"/>
            </w:rPr>
            <w:fldChar w:fldCharType="begin"/>
          </w:r>
          <w:r w:rsidR="00770AE5" w:rsidRPr="00770AE5">
            <w:rPr>
              <w:rFonts w:eastAsia="Times New Roman" w:cstheme="minorHAnsi"/>
              <w:lang w:val="es-MX" w:eastAsia="es-SV"/>
            </w:rPr>
            <w:instrText xml:space="preserve"> CITATION Pro19 \l 2058 </w:instrText>
          </w:r>
          <w:r w:rsidR="00770AE5" w:rsidRPr="00770AE5">
            <w:rPr>
              <w:rFonts w:eastAsia="Times New Roman" w:cstheme="minorHAnsi"/>
              <w:lang w:eastAsia="es-SV"/>
            </w:rPr>
            <w:fldChar w:fldCharType="separate"/>
          </w:r>
          <w:r w:rsidR="00770AE5" w:rsidRPr="00770AE5">
            <w:rPr>
              <w:rFonts w:eastAsia="Times New Roman" w:cstheme="minorHAnsi"/>
              <w:noProof/>
              <w:lang w:val="es-MX" w:eastAsia="es-SV"/>
            </w:rPr>
            <w:t>(Programa de Sistemas de Información para la Resiliencia de la Seguridad Alimentaria y Nutricional de la Región del SICA [PROGRESAN-SICA], 2019)</w:t>
          </w:r>
          <w:r w:rsidR="00770AE5" w:rsidRPr="00770AE5">
            <w:rPr>
              <w:rFonts w:eastAsia="Times New Roman" w:cstheme="minorHAnsi"/>
              <w:lang w:eastAsia="es-SV"/>
            </w:rPr>
            <w:fldChar w:fldCharType="end"/>
          </w:r>
        </w:sdtContent>
      </w:sdt>
      <w:r w:rsidR="00770AE5" w:rsidRPr="00770AE5">
        <w:rPr>
          <w:rFonts w:eastAsia="Times New Roman" w:cstheme="minorHAnsi"/>
          <w:lang w:eastAsia="es-SV"/>
        </w:rPr>
        <w:t xml:space="preserve">. Se estima que la mitad de los 1,9 millones de pequeños productores de granos básicos en América Central se encuentran en el área del Corredor Seco </w:t>
      </w:r>
      <w:sdt>
        <w:sdtPr>
          <w:rPr>
            <w:rFonts w:eastAsia="Times New Roman" w:cstheme="minorHAnsi"/>
            <w:lang w:eastAsia="es-SV"/>
          </w:rPr>
          <w:id w:val="-379402710"/>
          <w:citation/>
        </w:sdtPr>
        <w:sdtEndPr/>
        <w:sdtContent>
          <w:r w:rsidR="00770AE5" w:rsidRPr="00770AE5">
            <w:rPr>
              <w:rFonts w:eastAsia="Times New Roman" w:cstheme="minorHAnsi"/>
              <w:lang w:eastAsia="es-SV"/>
            </w:rPr>
            <w:fldChar w:fldCharType="begin"/>
          </w:r>
          <w:r w:rsidR="00770AE5" w:rsidRPr="00770AE5">
            <w:rPr>
              <w:rFonts w:eastAsia="Times New Roman" w:cstheme="minorHAnsi"/>
              <w:lang w:val="es-MX" w:eastAsia="es-SV"/>
            </w:rPr>
            <w:instrText xml:space="preserve"> CITATION SER19 \l 2058 </w:instrText>
          </w:r>
          <w:r w:rsidR="00770AE5" w:rsidRPr="00770AE5">
            <w:rPr>
              <w:rFonts w:eastAsia="Times New Roman" w:cstheme="minorHAnsi"/>
              <w:lang w:eastAsia="es-SV"/>
            </w:rPr>
            <w:fldChar w:fldCharType="separate"/>
          </w:r>
          <w:r w:rsidR="00770AE5" w:rsidRPr="00770AE5">
            <w:rPr>
              <w:rFonts w:eastAsia="Times New Roman" w:cstheme="minorHAnsi"/>
              <w:noProof/>
              <w:lang w:val="es-MX" w:eastAsia="es-SV"/>
            </w:rPr>
            <w:t>((SERVINDI), 2019)</w:t>
          </w:r>
          <w:r w:rsidR="00770AE5" w:rsidRPr="00770AE5">
            <w:rPr>
              <w:rFonts w:eastAsia="Times New Roman" w:cstheme="minorHAnsi"/>
              <w:lang w:eastAsia="es-SV"/>
            </w:rPr>
            <w:fldChar w:fldCharType="end"/>
          </w:r>
        </w:sdtContent>
      </w:sdt>
      <w:r w:rsidR="004D0CAB">
        <w:rPr>
          <w:rFonts w:eastAsia="Times New Roman" w:cstheme="minorHAnsi"/>
          <w:lang w:eastAsia="es-SV"/>
        </w:rPr>
        <w:t xml:space="preserve">.  </w:t>
      </w:r>
    </w:p>
    <w:p w14:paraId="58B335CA" w14:textId="77777777" w:rsidR="00E622C1" w:rsidRDefault="00E622C1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iCs/>
          <w:lang w:eastAsia="es-SV"/>
        </w:rPr>
      </w:pPr>
    </w:p>
    <w:bookmarkEnd w:id="1"/>
    <w:p w14:paraId="5FE6C623" w14:textId="593037D7" w:rsidR="00792023" w:rsidRDefault="004F7A4D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  <w:r>
        <w:rPr>
          <w:rFonts w:eastAsia="Times New Roman" w:cstheme="minorHAnsi"/>
          <w:b/>
          <w:bCs/>
          <w:i/>
          <w:iCs/>
          <w:lang w:eastAsia="es-SV"/>
        </w:rPr>
        <w:t>d</w:t>
      </w:r>
      <w:r w:rsidR="00770AE5" w:rsidRPr="00770AE5">
        <w:rPr>
          <w:rFonts w:eastAsia="Times New Roman" w:cstheme="minorHAnsi"/>
          <w:b/>
          <w:bCs/>
          <w:i/>
          <w:iCs/>
          <w:lang w:eastAsia="es-SV"/>
        </w:rPr>
        <w:t xml:space="preserve">. </w:t>
      </w:r>
      <w:r w:rsidR="00770AE5">
        <w:rPr>
          <w:rFonts w:eastAsia="Times New Roman" w:cstheme="minorHAnsi"/>
          <w:b/>
          <w:bCs/>
          <w:i/>
          <w:iCs/>
          <w:lang w:eastAsia="es-SV"/>
        </w:rPr>
        <w:t>Sobrepeso y obesidad</w:t>
      </w:r>
      <w:r w:rsidR="00770AE5" w:rsidRPr="00770AE5">
        <w:rPr>
          <w:rFonts w:eastAsia="Times New Roman" w:cstheme="minorHAnsi"/>
          <w:b/>
          <w:bCs/>
          <w:i/>
          <w:iCs/>
          <w:lang w:eastAsia="es-SV"/>
        </w:rPr>
        <w:t xml:space="preserve">. </w:t>
      </w:r>
      <w:r w:rsidR="00770AE5" w:rsidRPr="00770AE5">
        <w:rPr>
          <w:rFonts w:eastAsia="Times New Roman" w:cstheme="minorHAnsi"/>
          <w:lang w:eastAsia="es-SV"/>
        </w:rPr>
        <w:t xml:space="preserve">  En todos los países, la prevalencia de sobrepeso entre las mujeres supera el 25%. En 2016, Centroamérica registró un total de cerca de 1 millón de niños menores de 5 años afectados por sobrepeso y obesidad </w:t>
      </w:r>
      <w:sdt>
        <w:sdtPr>
          <w:rPr>
            <w:rFonts w:eastAsia="Times New Roman" w:cstheme="minorHAnsi"/>
            <w:lang w:eastAsia="es-SV"/>
          </w:rPr>
          <w:id w:val="-1324965348"/>
          <w:citation/>
        </w:sdtPr>
        <w:sdtEndPr/>
        <w:sdtContent>
          <w:r w:rsidR="00770AE5" w:rsidRPr="00770AE5">
            <w:rPr>
              <w:rFonts w:eastAsia="Times New Roman" w:cstheme="minorHAnsi"/>
              <w:lang w:eastAsia="es-SV"/>
            </w:rPr>
            <w:fldChar w:fldCharType="begin"/>
          </w:r>
          <w:r w:rsidR="00770AE5" w:rsidRPr="00770AE5">
            <w:rPr>
              <w:rFonts w:eastAsia="Times New Roman" w:cstheme="minorHAnsi"/>
              <w:lang w:val="es-MX" w:eastAsia="es-SV"/>
            </w:rPr>
            <w:instrText xml:space="preserve"> CITATION Org18 \l 2058 </w:instrText>
          </w:r>
          <w:r w:rsidR="00770AE5" w:rsidRPr="00770AE5">
            <w:rPr>
              <w:rFonts w:eastAsia="Times New Roman" w:cstheme="minorHAnsi"/>
              <w:lang w:eastAsia="es-SV"/>
            </w:rPr>
            <w:fldChar w:fldCharType="separate"/>
          </w:r>
          <w:r w:rsidR="00770AE5" w:rsidRPr="00770AE5">
            <w:rPr>
              <w:rFonts w:eastAsia="Times New Roman" w:cstheme="minorHAnsi"/>
              <w:noProof/>
              <w:lang w:val="es-MX" w:eastAsia="es-SV"/>
            </w:rPr>
            <w:t>(Organización Panamericana de la Salud [OPS], 2018)</w:t>
          </w:r>
          <w:r w:rsidR="00770AE5" w:rsidRPr="00770AE5">
            <w:rPr>
              <w:rFonts w:eastAsia="Times New Roman" w:cstheme="minorHAnsi"/>
              <w:lang w:eastAsia="es-SV"/>
            </w:rPr>
            <w:fldChar w:fldCharType="end"/>
          </w:r>
        </w:sdtContent>
      </w:sdt>
      <w:r w:rsidR="00770AE5" w:rsidRPr="00770AE5">
        <w:rPr>
          <w:rFonts w:eastAsia="Times New Roman" w:cstheme="minorHAnsi"/>
          <w:lang w:eastAsia="es-SV"/>
        </w:rPr>
        <w:t>. En todos los países de la región, estas dos condiciones son las principales causas de enfermedades crónicas no transmisibles (ECNT), como el incremento de la diabetes y las enfermedades cardiovasculares.</w:t>
      </w:r>
    </w:p>
    <w:p w14:paraId="334C0522" w14:textId="77777777" w:rsidR="00792023" w:rsidRDefault="00792023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p w14:paraId="066DA9B8" w14:textId="77777777" w:rsidR="00792023" w:rsidRDefault="00792023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p w14:paraId="3814AC72" w14:textId="77777777" w:rsidR="00792023" w:rsidRPr="00770AE5" w:rsidRDefault="00792023" w:rsidP="00770AE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p w14:paraId="18C954C2" w14:textId="77777777" w:rsidR="00B22E49" w:rsidRDefault="00B22E49" w:rsidP="00770AE5">
      <w:pPr>
        <w:shd w:val="clear" w:color="auto" w:fill="FFFFFF" w:themeFill="background1"/>
        <w:jc w:val="both"/>
        <w:rPr>
          <w:rFonts w:eastAsia="Times New Roman" w:cstheme="minorHAnsi"/>
          <w:b/>
          <w:bCs/>
          <w:i/>
          <w:iCs/>
          <w:lang w:eastAsia="es-SV"/>
        </w:rPr>
      </w:pPr>
    </w:p>
    <w:p w14:paraId="7495A613" w14:textId="77777777" w:rsidR="00B22E49" w:rsidRDefault="00B22E49" w:rsidP="00770AE5">
      <w:pPr>
        <w:shd w:val="clear" w:color="auto" w:fill="FFFFFF" w:themeFill="background1"/>
        <w:jc w:val="both"/>
        <w:rPr>
          <w:rFonts w:eastAsia="Times New Roman" w:cstheme="minorHAnsi"/>
          <w:b/>
          <w:bCs/>
          <w:i/>
          <w:iCs/>
          <w:lang w:eastAsia="es-SV"/>
        </w:rPr>
      </w:pPr>
    </w:p>
    <w:p w14:paraId="0C285886" w14:textId="7EC55D35" w:rsidR="00770AE5" w:rsidRDefault="00770AE5" w:rsidP="00770AE5">
      <w:pPr>
        <w:shd w:val="clear" w:color="auto" w:fill="FFFFFF" w:themeFill="background1"/>
        <w:jc w:val="both"/>
      </w:pPr>
      <w:r w:rsidRPr="00770AE5">
        <w:rPr>
          <w:rFonts w:eastAsia="Times New Roman" w:cstheme="minorHAnsi"/>
          <w:b/>
          <w:bCs/>
          <w:i/>
          <w:iCs/>
          <w:lang w:eastAsia="es-SV"/>
        </w:rPr>
        <w:t xml:space="preserve">F. La migración. </w:t>
      </w:r>
      <w:r w:rsidRPr="00770AE5">
        <w:rPr>
          <w:rFonts w:eastAsia="Times New Roman" w:cstheme="minorHAnsi"/>
          <w:lang w:eastAsia="es-SV"/>
        </w:rPr>
        <w:t>La migración en algunos países de la región</w:t>
      </w:r>
      <w:r>
        <w:rPr>
          <w:rFonts w:eastAsia="Times New Roman" w:cstheme="minorHAnsi"/>
          <w:b/>
          <w:bCs/>
          <w:i/>
          <w:iCs/>
          <w:lang w:eastAsia="es-SV"/>
        </w:rPr>
        <w:t xml:space="preserve"> </w:t>
      </w:r>
      <w:r>
        <w:t>está conllevando a</w:t>
      </w:r>
      <w:r w:rsidRPr="00770AE5">
        <w:t xml:space="preserve"> la desintegración del tejido social de las comunidades, despoblación rural y al abandono de la agricultura campesina y frena dinámicas económicas rurales. </w:t>
      </w:r>
    </w:p>
    <w:p w14:paraId="02D8CE9F" w14:textId="77777777" w:rsidR="00494E1C" w:rsidRDefault="006B14D5" w:rsidP="006B14D5">
      <w:pPr>
        <w:shd w:val="clear" w:color="auto" w:fill="FFFFFF" w:themeFill="background1"/>
        <w:jc w:val="both"/>
      </w:pPr>
      <w:r>
        <w:t>De esta forma,</w:t>
      </w:r>
      <w:r w:rsidR="004F7A4D">
        <w:t xml:space="preserve"> CONSUACCIÓN </w:t>
      </w:r>
      <w:r w:rsidR="00023C37" w:rsidRPr="00D40B48">
        <w:rPr>
          <w:rFonts w:eastAsia="Times New Roman" w:cstheme="minorHAnsi"/>
          <w:lang w:eastAsia="es-SV"/>
        </w:rPr>
        <w:t>busca establecer un diálogo entr</w:t>
      </w:r>
      <w:r w:rsidR="00023C37">
        <w:rPr>
          <w:rFonts w:eastAsia="Times New Roman" w:cstheme="minorHAnsi"/>
          <w:lang w:eastAsia="es-SV"/>
        </w:rPr>
        <w:t>e</w:t>
      </w:r>
      <w:r w:rsidR="00023C37" w:rsidRPr="00D40B48">
        <w:rPr>
          <w:rFonts w:eastAsia="Times New Roman" w:cstheme="minorHAnsi"/>
          <w:lang w:eastAsia="es-SV"/>
        </w:rPr>
        <w:t xml:space="preserve"> partes interesadas clave</w:t>
      </w:r>
      <w:r w:rsidR="00023C37">
        <w:rPr>
          <w:rFonts w:eastAsia="Times New Roman" w:cstheme="minorHAnsi"/>
          <w:lang w:eastAsia="es-SV"/>
        </w:rPr>
        <w:t>s</w:t>
      </w:r>
      <w:r w:rsidR="00023C37" w:rsidRPr="00D40B48">
        <w:rPr>
          <w:rFonts w:eastAsia="Times New Roman" w:cstheme="minorHAnsi"/>
          <w:lang w:eastAsia="es-SV"/>
        </w:rPr>
        <w:t xml:space="preserve"> para promover políticas públicas que contribuyan a una alimentación saludable a través de la producción agrícola sostenible. La intención es acercar los productos a los consumidores, lo que consideramos contribuirá a la mejora de la calidad de vida.</w:t>
      </w:r>
      <w:r w:rsidR="00023C37">
        <w:rPr>
          <w:rFonts w:eastAsia="Times New Roman" w:cstheme="minorHAnsi"/>
          <w:lang w:eastAsia="es-SV"/>
        </w:rPr>
        <w:t xml:space="preserve">  P</w:t>
      </w:r>
      <w:r>
        <w:rPr>
          <w:rFonts w:eastAsia="Times New Roman" w:cstheme="minorHAnsi"/>
          <w:lang w:eastAsia="es-SV"/>
        </w:rPr>
        <w:t>o</w:t>
      </w:r>
      <w:r w:rsidR="00023C37">
        <w:rPr>
          <w:rFonts w:eastAsia="Times New Roman" w:cstheme="minorHAnsi"/>
          <w:lang w:eastAsia="es-SV"/>
        </w:rPr>
        <w:t xml:space="preserve">r ello, </w:t>
      </w:r>
      <w:r>
        <w:rPr>
          <w:rFonts w:eastAsia="Times New Roman" w:cstheme="minorHAnsi"/>
          <w:lang w:eastAsia="es-SV"/>
        </w:rPr>
        <w:t xml:space="preserve">es necesario </w:t>
      </w:r>
      <w:r w:rsidR="00023C37" w:rsidRPr="00D40B48">
        <w:rPr>
          <w:rFonts w:eastAsia="Times New Roman" w:cstheme="minorHAnsi"/>
          <w:lang w:eastAsia="es-SV"/>
        </w:rPr>
        <w:t xml:space="preserve">articular la participación </w:t>
      </w:r>
      <w:r>
        <w:rPr>
          <w:rFonts w:eastAsia="Times New Roman" w:cstheme="minorHAnsi"/>
          <w:lang w:eastAsia="es-SV"/>
        </w:rPr>
        <w:t xml:space="preserve">y esfuerzos </w:t>
      </w:r>
      <w:r w:rsidR="00023C37" w:rsidRPr="00D40B48">
        <w:rPr>
          <w:rFonts w:eastAsia="Times New Roman" w:cstheme="minorHAnsi"/>
          <w:lang w:eastAsia="es-SV"/>
        </w:rPr>
        <w:t xml:space="preserve">de </w:t>
      </w:r>
      <w:r>
        <w:rPr>
          <w:rFonts w:eastAsia="Times New Roman" w:cstheme="minorHAnsi"/>
          <w:lang w:eastAsia="es-SV"/>
        </w:rPr>
        <w:t>o</w:t>
      </w:r>
      <w:r w:rsidR="00023C37" w:rsidRPr="00D40B48">
        <w:rPr>
          <w:rFonts w:eastAsia="Times New Roman" w:cstheme="minorHAnsi"/>
          <w:lang w:eastAsia="es-SV"/>
        </w:rPr>
        <w:t xml:space="preserve">rganizaciones de producción campesina (especialmente las mujeres campesinas), organizaciones de consumidores, academia y organizaciones regionales de América Central con el objetivo de construir una nueva agenda regional </w:t>
      </w:r>
      <w:r>
        <w:rPr>
          <w:rFonts w:eastAsia="Times New Roman" w:cstheme="minorHAnsi"/>
          <w:lang w:eastAsia="es-SV"/>
        </w:rPr>
        <w:t xml:space="preserve">para </w:t>
      </w:r>
      <w:r w:rsidRPr="006B14D5">
        <w:t xml:space="preserve">fortalecer los </w:t>
      </w:r>
      <w:r w:rsidR="00023C37" w:rsidRPr="006B14D5">
        <w:t>sistema</w:t>
      </w:r>
      <w:r w:rsidRPr="006B14D5">
        <w:t>s</w:t>
      </w:r>
      <w:r w:rsidR="00023C37" w:rsidRPr="006B14D5">
        <w:t xml:space="preserve"> alimentario</w:t>
      </w:r>
      <w:r w:rsidRPr="006B14D5">
        <w:t>s sostenibles saludables en la región</w:t>
      </w:r>
      <w:r w:rsidR="00023C37" w:rsidRPr="006B14D5">
        <w:t>.</w:t>
      </w:r>
    </w:p>
    <w:p w14:paraId="527B573E" w14:textId="77777777" w:rsidR="00E622C1" w:rsidRDefault="006B14D5" w:rsidP="006B14D5">
      <w:pPr>
        <w:shd w:val="clear" w:color="auto" w:fill="FFFFFF" w:themeFill="background1"/>
        <w:jc w:val="both"/>
      </w:pPr>
      <w:r>
        <w:t xml:space="preserve">Por lo anterior, CONSUACCIÓN </w:t>
      </w:r>
      <w:r w:rsidR="0019460C">
        <w:t xml:space="preserve">reconociendo que </w:t>
      </w:r>
      <w:r w:rsidR="0019460C" w:rsidRPr="0019460C">
        <w:t xml:space="preserve">El Consejo Económico y Social de las Naciones Unidas (1999), en </w:t>
      </w:r>
      <w:r w:rsidR="0019460C">
        <w:t>la Observación General (</w:t>
      </w:r>
      <w:r w:rsidR="0019460C" w:rsidRPr="0019460C">
        <w:t>OG número 12</w:t>
      </w:r>
      <w:r w:rsidR="0019460C">
        <w:t>)</w:t>
      </w:r>
      <w:r w:rsidR="0019460C" w:rsidRPr="0019460C">
        <w:t>, establece “...deberán adoptarse medidas más inmediatas… para garantizar el derecho fundamental de toda persona a estar protegida contra el hambre y la malnutrición. El derecho a una alimentación adecuada es de importancia fundamental para el disfrute de todos los derechos...”</w:t>
      </w:r>
      <w:r w:rsidR="0019460C">
        <w:t xml:space="preserve"> </w:t>
      </w:r>
      <w:r>
        <w:t>considera que debe ponerse énfasis en:</w:t>
      </w:r>
    </w:p>
    <w:p w14:paraId="60CEC92E" w14:textId="77777777" w:rsidR="00C15459" w:rsidRDefault="006A1B0A" w:rsidP="00C15459">
      <w:pPr>
        <w:pStyle w:val="Prrafodelista"/>
        <w:numPr>
          <w:ilvl w:val="0"/>
          <w:numId w:val="1"/>
        </w:numPr>
        <w:ind w:left="360"/>
        <w:jc w:val="both"/>
      </w:pPr>
      <w:r>
        <w:t xml:space="preserve">Enfrentar las Enfermedades No Transmisibles, que impacten en la disminución del sobrepeso y la obesidad mediante políticas públicas y acciones que permitan disminuir el consumo de las bebidas </w:t>
      </w:r>
      <w:r w:rsidRPr="00D23A5F">
        <w:t>azucaradas, regular el consumo de productos no alimenticios en los centros escolares, crear un</w:t>
      </w:r>
      <w:r>
        <w:t xml:space="preserve"> Etiquetado de Advertencia Nutricional de Alimentos y regular la publicidad de alimentos no saludables dirigida a niñas, niños y adolescentes.</w:t>
      </w:r>
    </w:p>
    <w:p w14:paraId="7808CA84" w14:textId="77777777" w:rsidR="00C15459" w:rsidRDefault="00C15459" w:rsidP="00C15459">
      <w:pPr>
        <w:pStyle w:val="Prrafodelista"/>
        <w:ind w:left="360"/>
        <w:jc w:val="both"/>
      </w:pPr>
    </w:p>
    <w:p w14:paraId="695FDF4C" w14:textId="65472433" w:rsidR="00A80FDF" w:rsidRPr="00D23A5F" w:rsidRDefault="00C15459" w:rsidP="00A80FDF">
      <w:pPr>
        <w:pStyle w:val="Prrafodelista"/>
        <w:numPr>
          <w:ilvl w:val="0"/>
          <w:numId w:val="1"/>
        </w:numPr>
        <w:ind w:left="360"/>
        <w:jc w:val="both"/>
      </w:pPr>
      <w:r w:rsidRPr="00D23A5F">
        <w:rPr>
          <w:sz w:val="23"/>
          <w:szCs w:val="23"/>
        </w:rPr>
        <w:t xml:space="preserve">Adoptar </w:t>
      </w:r>
      <w:r w:rsidR="006A1B0A" w:rsidRPr="00D23A5F">
        <w:rPr>
          <w:sz w:val="23"/>
          <w:szCs w:val="23"/>
        </w:rPr>
        <w:t>medidas para</w:t>
      </w:r>
      <w:r w:rsidRPr="00D23A5F">
        <w:rPr>
          <w:sz w:val="23"/>
          <w:szCs w:val="23"/>
        </w:rPr>
        <w:t xml:space="preserve"> que </w:t>
      </w:r>
      <w:r w:rsidR="006A1B0A" w:rsidRPr="00D23A5F">
        <w:rPr>
          <w:sz w:val="23"/>
          <w:szCs w:val="23"/>
        </w:rPr>
        <w:t>los sistemas alimentarios sostenibles</w:t>
      </w:r>
      <w:r w:rsidRPr="00D23A5F">
        <w:rPr>
          <w:sz w:val="23"/>
          <w:szCs w:val="23"/>
        </w:rPr>
        <w:t xml:space="preserve"> saludables sean</w:t>
      </w:r>
      <w:r w:rsidR="006A1B0A" w:rsidRPr="00D23A5F">
        <w:rPr>
          <w:sz w:val="23"/>
          <w:szCs w:val="23"/>
        </w:rPr>
        <w:t xml:space="preserve"> equitativos e inclusivos, que garanticen la alimentación saludable y el bienestar de la población. Esto supone garantizar la disponibilidad, la diversidad, el acceso, el consumo, la utilización biológica y la estabilidad de los alimentos saludables</w:t>
      </w:r>
      <w:r w:rsidRPr="00D23A5F">
        <w:rPr>
          <w:sz w:val="23"/>
          <w:szCs w:val="23"/>
        </w:rPr>
        <w:t xml:space="preserve"> (promover la producción de alimentos agroecológicos protegiendo la biodiversidad e intensificando el uso de semillas nativas, fomentando las buenas prácticas agrícolas y de comercialización, estableciendo centros de acopio de alimentos saludables, para facilitar el acceso a alimentos nutricionalmente adecuados e inocuos y adoptar Canastas Básicas Alimentarias saludables para garantizar el Derecho</w:t>
      </w:r>
      <w:r w:rsidR="00A80FDF" w:rsidRPr="00D23A5F">
        <w:rPr>
          <w:sz w:val="23"/>
          <w:szCs w:val="23"/>
        </w:rPr>
        <w:t xml:space="preserve"> Humano</w:t>
      </w:r>
      <w:r w:rsidRPr="00D23A5F">
        <w:rPr>
          <w:sz w:val="23"/>
          <w:szCs w:val="23"/>
        </w:rPr>
        <w:t xml:space="preserve"> a la Alimentación</w:t>
      </w:r>
      <w:r w:rsidR="0081261A">
        <w:rPr>
          <w:sz w:val="23"/>
          <w:szCs w:val="23"/>
        </w:rPr>
        <w:t xml:space="preserve"> </w:t>
      </w:r>
      <w:r w:rsidRPr="00D23A5F">
        <w:rPr>
          <w:sz w:val="23"/>
          <w:szCs w:val="23"/>
        </w:rPr>
        <w:t>Adecuada</w:t>
      </w:r>
      <w:r w:rsidR="00A80FDF" w:rsidRPr="00D23A5F">
        <w:rPr>
          <w:sz w:val="23"/>
          <w:szCs w:val="23"/>
        </w:rPr>
        <w:t xml:space="preserve"> </w:t>
      </w:r>
      <w:r w:rsidR="00A80FDF" w:rsidRPr="00D23A5F">
        <w:t xml:space="preserve">y los </w:t>
      </w:r>
      <w:r w:rsidR="00B12FAF" w:rsidRPr="00D23A5F">
        <w:t>D</w:t>
      </w:r>
      <w:r w:rsidR="00A80FDF" w:rsidRPr="00D23A5F">
        <w:t xml:space="preserve">erechos </w:t>
      </w:r>
      <w:r w:rsidR="00B12FAF" w:rsidRPr="00D23A5F">
        <w:t>C</w:t>
      </w:r>
      <w:r w:rsidR="00A80FDF" w:rsidRPr="00D23A5F">
        <w:t xml:space="preserve">ampesinos y de </w:t>
      </w:r>
      <w:r w:rsidR="00235400" w:rsidRPr="00D23A5F">
        <w:t>O</w:t>
      </w:r>
      <w:r w:rsidR="00A80FDF" w:rsidRPr="00D23A5F">
        <w:t xml:space="preserve">tras </w:t>
      </w:r>
      <w:r w:rsidR="00235400" w:rsidRPr="00D23A5F">
        <w:t>P</w:t>
      </w:r>
      <w:r w:rsidR="00A80FDF" w:rsidRPr="00D23A5F">
        <w:t xml:space="preserve">ersonas que </w:t>
      </w:r>
      <w:r w:rsidR="00235400" w:rsidRPr="00D23A5F">
        <w:t>T</w:t>
      </w:r>
      <w:r w:rsidR="00A80FDF" w:rsidRPr="00D23A5F">
        <w:t xml:space="preserve">rabajan en las </w:t>
      </w:r>
      <w:r w:rsidR="00235400" w:rsidRPr="00D23A5F">
        <w:t>Z</w:t>
      </w:r>
      <w:r w:rsidR="00A80FDF" w:rsidRPr="00D23A5F">
        <w:t xml:space="preserve">onas </w:t>
      </w:r>
      <w:r w:rsidR="00235400" w:rsidRPr="00D23A5F">
        <w:t>R</w:t>
      </w:r>
      <w:r w:rsidR="00A80FDF" w:rsidRPr="00D23A5F">
        <w:t xml:space="preserve">urales.  </w:t>
      </w:r>
    </w:p>
    <w:p w14:paraId="044E1DDF" w14:textId="1E0644A6" w:rsidR="00C15459" w:rsidRPr="00C15459" w:rsidRDefault="00C15459" w:rsidP="00A80FDF">
      <w:pPr>
        <w:pStyle w:val="Prrafodelista"/>
        <w:ind w:left="360"/>
        <w:jc w:val="both"/>
      </w:pPr>
    </w:p>
    <w:p w14:paraId="43DCA77D" w14:textId="77777777" w:rsidR="00C15459" w:rsidRPr="00C15459" w:rsidRDefault="00C15459" w:rsidP="00C15459">
      <w:pPr>
        <w:pStyle w:val="Prrafodelista"/>
        <w:rPr>
          <w:sz w:val="23"/>
          <w:szCs w:val="23"/>
        </w:rPr>
      </w:pPr>
    </w:p>
    <w:p w14:paraId="03123816" w14:textId="71B2D0C0" w:rsidR="006A1B0A" w:rsidRPr="00E962A2" w:rsidRDefault="00C15459" w:rsidP="00C15459">
      <w:pPr>
        <w:pStyle w:val="Prrafodelista"/>
        <w:numPr>
          <w:ilvl w:val="0"/>
          <w:numId w:val="1"/>
        </w:numPr>
        <w:ind w:left="360"/>
        <w:jc w:val="both"/>
      </w:pPr>
      <w:r w:rsidRPr="00C15459">
        <w:rPr>
          <w:sz w:val="23"/>
          <w:szCs w:val="23"/>
        </w:rPr>
        <w:t xml:space="preserve">Fortalecer el trabajo de las organizaciones de consumidores como instancias de la sociedad civil capaces de empujar propuestas y cambios ante intereses contrarios a la salud pública de determinados sectores o actores. En tal sentido, solicitamos a la cooperación internacional y solidaria, poner a disposición recursos técnicos y financieros para desarrollar el trabajo de incidencia en la promoción de los sistemas alimentarios sostenibles para la alimentación saludable. </w:t>
      </w:r>
    </w:p>
    <w:p w14:paraId="745D290B" w14:textId="77777777" w:rsidR="00E622C1" w:rsidRDefault="00E622C1" w:rsidP="00494E1C">
      <w:pPr>
        <w:jc w:val="center"/>
      </w:pPr>
    </w:p>
    <w:p w14:paraId="34FC6DD4" w14:textId="77777777" w:rsidR="0019460C" w:rsidRDefault="0019460C" w:rsidP="00494E1C">
      <w:pPr>
        <w:jc w:val="center"/>
      </w:pPr>
    </w:p>
    <w:p w14:paraId="530E27F8" w14:textId="77777777" w:rsidR="0019460C" w:rsidRDefault="0019460C" w:rsidP="00494E1C">
      <w:pPr>
        <w:jc w:val="center"/>
      </w:pPr>
    </w:p>
    <w:p w14:paraId="612039A5" w14:textId="77777777" w:rsidR="0019460C" w:rsidRPr="00B22E49" w:rsidRDefault="0019460C" w:rsidP="00494E1C">
      <w:pPr>
        <w:jc w:val="center"/>
        <w:rPr>
          <w:sz w:val="24"/>
          <w:szCs w:val="24"/>
        </w:rPr>
      </w:pPr>
    </w:p>
    <w:p w14:paraId="55EDEB6E" w14:textId="77777777" w:rsidR="00B22E49" w:rsidRDefault="00B22E49" w:rsidP="00494E1C">
      <w:pPr>
        <w:jc w:val="center"/>
        <w:rPr>
          <w:b/>
          <w:bCs/>
          <w:sz w:val="24"/>
          <w:szCs w:val="24"/>
        </w:rPr>
      </w:pPr>
    </w:p>
    <w:p w14:paraId="2C506601" w14:textId="7BD282B9" w:rsidR="00E622C1" w:rsidRPr="00B22E49" w:rsidRDefault="00E622C1" w:rsidP="00494E1C">
      <w:pPr>
        <w:jc w:val="center"/>
        <w:rPr>
          <w:b/>
          <w:bCs/>
          <w:sz w:val="28"/>
          <w:szCs w:val="28"/>
        </w:rPr>
      </w:pPr>
      <w:r w:rsidRPr="00B22E49">
        <w:rPr>
          <w:b/>
          <w:bCs/>
          <w:sz w:val="28"/>
          <w:szCs w:val="28"/>
        </w:rPr>
        <w:t>ANEXOS</w:t>
      </w:r>
    </w:p>
    <w:p w14:paraId="2365FFE5" w14:textId="77777777" w:rsidR="00C15459" w:rsidRPr="004F7A4D" w:rsidRDefault="00C15459" w:rsidP="00494E1C">
      <w:pPr>
        <w:jc w:val="center"/>
        <w:rPr>
          <w:b/>
          <w:bCs/>
          <w:sz w:val="28"/>
          <w:szCs w:val="28"/>
        </w:rPr>
      </w:pPr>
    </w:p>
    <w:p w14:paraId="1B16AB44" w14:textId="77777777" w:rsidR="00E622C1" w:rsidRPr="00C561C8" w:rsidRDefault="00E622C1" w:rsidP="00E622C1">
      <w:pPr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C561C8">
        <w:rPr>
          <w:rFonts w:ascii="Arial" w:eastAsia="Calibri" w:hAnsi="Arial" w:cs="Arial"/>
          <w:b/>
          <w:sz w:val="24"/>
          <w:szCs w:val="24"/>
          <w:lang w:val="es-MX"/>
        </w:rPr>
        <w:t>Porcentaje de la pobreza en la región centroamericana</w:t>
      </w:r>
    </w:p>
    <w:tbl>
      <w:tblPr>
        <w:tblpPr w:leftFromText="180" w:rightFromText="180" w:vertAnchor="text" w:horzAnchor="margin" w:tblpXSpec="center" w:tblpY="-67"/>
        <w:tblW w:w="10339" w:type="dxa"/>
        <w:tblLook w:val="04A0" w:firstRow="1" w:lastRow="0" w:firstColumn="1" w:lastColumn="0" w:noHBand="0" w:noVBand="1"/>
      </w:tblPr>
      <w:tblGrid>
        <w:gridCol w:w="674"/>
        <w:gridCol w:w="978"/>
        <w:gridCol w:w="955"/>
        <w:gridCol w:w="978"/>
        <w:gridCol w:w="955"/>
        <w:gridCol w:w="978"/>
        <w:gridCol w:w="955"/>
        <w:gridCol w:w="978"/>
        <w:gridCol w:w="955"/>
        <w:gridCol w:w="978"/>
        <w:gridCol w:w="955"/>
      </w:tblGrid>
      <w:tr w:rsidR="00E622C1" w:rsidRPr="00C561C8" w14:paraId="5BFFDF7B" w14:textId="77777777" w:rsidTr="00D167BE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1696" w14:textId="77777777" w:rsidR="00E622C1" w:rsidRPr="00C561C8" w:rsidRDefault="00E622C1" w:rsidP="00D167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Años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04BE2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Costa Rica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C23A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Nicaragua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1600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Honduras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DD4DD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El Salvador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F5F8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Guatemala</w:t>
            </w:r>
          </w:p>
        </w:tc>
      </w:tr>
      <w:tr w:rsidR="00E622C1" w:rsidRPr="00C561C8" w14:paraId="637E8AA7" w14:textId="77777777" w:rsidTr="00D167BE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D690C" w14:textId="77777777" w:rsidR="00E622C1" w:rsidRPr="00C561C8" w:rsidRDefault="00E622C1" w:rsidP="00D167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B266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C00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Pobreza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EC1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D0C8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Pobreza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3DA2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3371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Pobreza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2362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3C52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Pobreza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E7D6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Pobreza Extrema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D29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 xml:space="preserve">Pobreza </w:t>
            </w:r>
          </w:p>
        </w:tc>
      </w:tr>
      <w:tr w:rsidR="00E622C1" w:rsidRPr="00C561C8" w14:paraId="3037D1DE" w14:textId="77777777" w:rsidTr="00D167B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1CA9" w14:textId="77777777" w:rsidR="00E622C1" w:rsidRPr="00C561C8" w:rsidRDefault="00E622C1" w:rsidP="00D167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39C4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6DACA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2EE7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449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CF5B4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ADCD8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3E3B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B4FA0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801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00F4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53.7</w:t>
            </w:r>
          </w:p>
        </w:tc>
      </w:tr>
      <w:tr w:rsidR="00E622C1" w:rsidRPr="00C561C8" w14:paraId="55080D0E" w14:textId="77777777" w:rsidTr="00D167B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03D8" w14:textId="77777777" w:rsidR="00E622C1" w:rsidRPr="00C561C8" w:rsidRDefault="00E622C1" w:rsidP="00D167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F5946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AA2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285D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22B1D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BB46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27B2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CB81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FE6A8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34.8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0B038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5317C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E622C1" w:rsidRPr="00C561C8" w14:paraId="6308841E" w14:textId="77777777" w:rsidTr="00D167B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9B5F7" w14:textId="77777777" w:rsidR="00E622C1" w:rsidRPr="00C561C8" w:rsidRDefault="00E622C1" w:rsidP="00D167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6A371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F04E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BA66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C1A2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30E1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F716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EE8B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256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8071B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5CDE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59.3</w:t>
            </w:r>
          </w:p>
        </w:tc>
      </w:tr>
      <w:tr w:rsidR="00E622C1" w:rsidRPr="00C561C8" w14:paraId="512B3C7F" w14:textId="77777777" w:rsidTr="00D167B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5A13" w14:textId="77777777" w:rsidR="00E622C1" w:rsidRPr="00C561C8" w:rsidRDefault="00E622C1" w:rsidP="00D167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b/>
                <w:bCs/>
                <w:color w:val="000000"/>
                <w:lang w:val="es-ES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6951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F6CE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2761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BFAF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5165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9210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721E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9794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E8D3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BB3F" w14:textId="77777777" w:rsidR="00E622C1" w:rsidRPr="00C561C8" w:rsidRDefault="00E622C1" w:rsidP="00D16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561C8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</w:tbl>
    <w:p w14:paraId="02BCC176" w14:textId="77777777" w:rsidR="00E622C1" w:rsidRPr="00C561C8" w:rsidRDefault="00E622C1" w:rsidP="00E622C1">
      <w:pPr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B6F17">
        <w:rPr>
          <w:rFonts w:ascii="Calibri Light" w:hAnsi="Calibri Light" w:cs="Calibri Light"/>
          <w:sz w:val="16"/>
          <w:szCs w:val="16"/>
        </w:rPr>
        <w:t>Fuente: Elaboración propia en base a datos de Encuesta de Hogares de Propósitos Múltiples (EHPM) DIGESTYC 2016 El Salvador.  Reporte de Pobreza y Desigualdad EMNV 2016. INIDE Nicaragua. Encuesta Nacional de Hogares 2016 INEC Costa Rica. Encuesta Nacional de Condiciones de Vida ENCOVI 2014 Guatemala, Principales Resultados. Encuesta Permanente de Hogares de Propósit</w:t>
      </w:r>
      <w:r>
        <w:rPr>
          <w:rFonts w:ascii="Calibri Light" w:hAnsi="Calibri Light" w:cs="Calibri Light"/>
          <w:sz w:val="16"/>
          <w:szCs w:val="16"/>
        </w:rPr>
        <w:t>os Múltiples 2016. INE Honduras y Panorama Social Pobreza – CEPAL-.</w:t>
      </w:r>
    </w:p>
    <w:p w14:paraId="1E567FDF" w14:textId="77777777" w:rsidR="00E622C1" w:rsidRDefault="00E622C1" w:rsidP="00E622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p w14:paraId="777443BC" w14:textId="77777777" w:rsidR="00E622C1" w:rsidRDefault="00E622C1" w:rsidP="00E622C1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p w14:paraId="42577D35" w14:textId="77777777" w:rsidR="00C15459" w:rsidRDefault="00C15459" w:rsidP="00C1545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91"/>
        <w:gridCol w:w="1843"/>
        <w:gridCol w:w="1559"/>
        <w:gridCol w:w="1560"/>
        <w:gridCol w:w="2409"/>
      </w:tblGrid>
      <w:tr w:rsidR="00C15459" w:rsidRPr="00C561C8" w14:paraId="66947F91" w14:textId="77777777" w:rsidTr="00D167BE">
        <w:trPr>
          <w:trHeight w:val="855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B221D" w14:textId="77777777" w:rsidR="00C15459" w:rsidRPr="00C561C8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6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País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86D6D" w14:textId="77777777" w:rsidR="00C15459" w:rsidRPr="00C561C8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6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 xml:space="preserve">Costo de la Canasta Básica </w:t>
            </w:r>
            <w:r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Urbana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 xml:space="preserve">   </w:t>
            </w:r>
            <w:r>
              <w:rPr>
                <w:rStyle w:val="Refdenotaalpie"/>
                <w:rFonts w:ascii="Arial" w:eastAsia="Calibri" w:hAnsi="Arial" w:cs="Arial"/>
                <w:b/>
                <w:sz w:val="24"/>
                <w:szCs w:val="24"/>
                <w:lang w:val="es-MX"/>
              </w:rPr>
              <w:footnoteReference w:id="3"/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E5F5" w14:textId="77777777" w:rsidR="00C15459" w:rsidRPr="00C561C8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6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Salario Comercio y Servicios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CF7C" w14:textId="77777777" w:rsidR="00C15459" w:rsidRPr="00C561C8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6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% de Cobertura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759B" w14:textId="77777777" w:rsidR="00C15459" w:rsidRPr="00C561C8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16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Diferencia entre la CBA y el Salario Comercio/Servicios</w:t>
            </w:r>
          </w:p>
        </w:tc>
      </w:tr>
      <w:tr w:rsidR="00C15459" w:rsidRPr="00C561C8" w14:paraId="36ED2C6B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EC9B8" w14:textId="77777777" w:rsidR="00C15459" w:rsidRPr="00C561C8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</w:pPr>
            <w:r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Panamá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9534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>
              <w:rPr>
                <w:rFonts w:eastAsia="Times New Roman" w:cstheme="minorHAnsi"/>
                <w:color w:val="000000"/>
                <w:szCs w:val="16"/>
              </w:rPr>
              <w:t>310.06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19AF1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</w:rPr>
            </w:pPr>
            <w:r w:rsidRPr="00552F5A">
              <w:rPr>
                <w:rFonts w:eastAsia="Times New Roman" w:cstheme="minorHAnsi"/>
                <w:color w:val="000000"/>
                <w:szCs w:val="16"/>
              </w:rPr>
              <w:t>US$</w:t>
            </w:r>
            <w:r>
              <w:rPr>
                <w:rFonts w:eastAsia="Times New Roman" w:cstheme="minorHAnsi"/>
                <w:color w:val="000000"/>
                <w:szCs w:val="16"/>
              </w:rPr>
              <w:t>767.04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21273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s-ES"/>
              </w:rPr>
            </w:pPr>
            <w:r w:rsidRPr="00FA3DE0">
              <w:rPr>
                <w:rFonts w:eastAsia="Times New Roman" w:cstheme="minorHAnsi"/>
                <w:color w:val="000000"/>
                <w:szCs w:val="16"/>
                <w:lang w:val="es-ES"/>
              </w:rPr>
              <w:t>247</w:t>
            </w:r>
            <w:r>
              <w:rPr>
                <w:rFonts w:eastAsia="Times New Roman" w:cstheme="minorHAnsi"/>
                <w:color w:val="000000"/>
                <w:szCs w:val="16"/>
                <w:lang w:val="es-ES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AAC35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s-E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FA3DE0">
              <w:rPr>
                <w:rFonts w:eastAsia="Times New Roman" w:cstheme="minorHAnsi"/>
                <w:color w:val="000000"/>
                <w:szCs w:val="16"/>
                <w:lang w:val="es-ES"/>
              </w:rPr>
              <w:t>456.98</w:t>
            </w:r>
          </w:p>
        </w:tc>
      </w:tr>
      <w:tr w:rsidR="00C15459" w:rsidRPr="00C561C8" w14:paraId="39622279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DE36E" w14:textId="77777777" w:rsidR="00C15459" w:rsidRPr="00C561C8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Costa 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AD5A4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336.55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D6E2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608.66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81ED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181%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5B9B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272.11</w:t>
            </w:r>
          </w:p>
        </w:tc>
      </w:tr>
      <w:tr w:rsidR="00C15459" w:rsidRPr="00C561C8" w14:paraId="2840FF75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5BA5" w14:textId="77777777" w:rsidR="00C15459" w:rsidRPr="00C561C8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Honduras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7AB1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s-E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348</w:t>
            </w:r>
            <w:r>
              <w:rPr>
                <w:rFonts w:eastAsia="Times New Roman" w:cstheme="minorHAnsi"/>
                <w:color w:val="000000"/>
                <w:szCs w:val="16"/>
                <w:lang w:val="es-ES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C984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s-E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B87A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s-E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121%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ECE7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s-E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74</w:t>
            </w:r>
          </w:p>
        </w:tc>
      </w:tr>
      <w:tr w:rsidR="00C15459" w:rsidRPr="00C561C8" w14:paraId="7974CA60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056B" w14:textId="77777777" w:rsidR="00C15459" w:rsidRPr="00C561C8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Guatemala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B283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486.27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20DC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6686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81%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EAEA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-</w:t>
            </w: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91.27</w:t>
            </w:r>
          </w:p>
        </w:tc>
      </w:tr>
      <w:tr w:rsidR="00C15459" w:rsidRPr="00C561C8" w14:paraId="6563E11F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CDFF" w14:textId="77777777" w:rsidR="00C15459" w:rsidRPr="00C561C8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El Salvador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72B2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200.39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0650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D0E7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150%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FD58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99.61</w:t>
            </w:r>
          </w:p>
        </w:tc>
      </w:tr>
      <w:tr w:rsidR="00C15459" w:rsidRPr="00C561C8" w14:paraId="6A47CA02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5F64" w14:textId="77777777" w:rsidR="00C15459" w:rsidRPr="00C561C8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b/>
                <w:color w:val="000000"/>
                <w:szCs w:val="16"/>
                <w:lang w:val="es-ES"/>
              </w:rPr>
              <w:t>Nicaragua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6634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288.21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C1CB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479D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80%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14B8" w14:textId="77777777" w:rsidR="00C15459" w:rsidRPr="00C561C8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Cs w:val="16"/>
                <w:lang w:val="en-US"/>
              </w:rPr>
            </w:pP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-</w:t>
            </w:r>
            <w:r w:rsidRPr="00C561C8">
              <w:rPr>
                <w:rFonts w:eastAsia="Times New Roman" w:cstheme="minorHAnsi"/>
                <w:color w:val="000000"/>
                <w:szCs w:val="16"/>
              </w:rPr>
              <w:t>US$</w:t>
            </w:r>
            <w:r w:rsidRPr="00C561C8">
              <w:rPr>
                <w:rFonts w:eastAsia="Times New Roman" w:cstheme="minorHAnsi"/>
                <w:color w:val="000000"/>
                <w:szCs w:val="16"/>
                <w:lang w:val="es-ES"/>
              </w:rPr>
              <w:t>58.21</w:t>
            </w:r>
          </w:p>
        </w:tc>
      </w:tr>
    </w:tbl>
    <w:p w14:paraId="5F1D8F9B" w14:textId="77777777" w:rsidR="00C15459" w:rsidRPr="00C561C8" w:rsidRDefault="00C15459" w:rsidP="00C1545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tbl>
      <w:tblPr>
        <w:tblW w:w="9083" w:type="dxa"/>
        <w:jc w:val="center"/>
        <w:tblLook w:val="04A0" w:firstRow="1" w:lastRow="0" w:firstColumn="1" w:lastColumn="0" w:noHBand="0" w:noVBand="1"/>
      </w:tblPr>
      <w:tblGrid>
        <w:gridCol w:w="1691"/>
        <w:gridCol w:w="1843"/>
        <w:gridCol w:w="1559"/>
        <w:gridCol w:w="1560"/>
        <w:gridCol w:w="2430"/>
      </w:tblGrid>
      <w:tr w:rsidR="00C15459" w:rsidRPr="000122B5" w14:paraId="259EBCED" w14:textId="77777777" w:rsidTr="00D167BE">
        <w:trPr>
          <w:trHeight w:val="559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B2832" w14:textId="77777777" w:rsidR="00C15459" w:rsidRPr="000122B5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País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B573" w14:textId="77777777" w:rsidR="00C15459" w:rsidRPr="000122B5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Costo de la Básica Rural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A17E" w14:textId="77777777" w:rsidR="00C15459" w:rsidRPr="000122B5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Salario Agrícola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38C4" w14:textId="77777777" w:rsidR="00C15459" w:rsidRPr="000122B5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bookmarkStart w:id="2" w:name="RANGE!F20"/>
            <w:r w:rsidRPr="000122B5">
              <w:rPr>
                <w:rFonts w:eastAsia="Times New Roman" w:cstheme="minorHAnsi"/>
                <w:b/>
                <w:color w:val="000000"/>
              </w:rPr>
              <w:t>% de Cobertura</w:t>
            </w:r>
            <w:bookmarkEnd w:id="2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7073" w14:textId="77777777" w:rsidR="00C15459" w:rsidRPr="000122B5" w:rsidRDefault="00C15459" w:rsidP="00D167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Diferencia entre la CBA y el Salario Agrícola</w:t>
            </w:r>
          </w:p>
        </w:tc>
      </w:tr>
      <w:tr w:rsidR="00C15459" w:rsidRPr="000122B5" w14:paraId="2693A2C3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9F12" w14:textId="77777777" w:rsidR="00C15459" w:rsidRPr="000122B5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Panamá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609D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122B5">
              <w:rPr>
                <w:rFonts w:eastAsia="Times New Roman" w:cstheme="minorHAnsi"/>
                <w:color w:val="000000"/>
              </w:rPr>
              <w:t>US$</w:t>
            </w:r>
            <w:r>
              <w:rPr>
                <w:rFonts w:eastAsia="Times New Roman" w:cstheme="minorHAnsi"/>
                <w:color w:val="000000"/>
              </w:rPr>
              <w:t>282.73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0302A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US$299.99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49FE4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A3DE0">
              <w:rPr>
                <w:rFonts w:eastAsia="Times New Roman" w:cstheme="minorHAnsi"/>
                <w:color w:val="000000"/>
              </w:rPr>
              <w:t>106</w:t>
            </w:r>
            <w:r>
              <w:rPr>
                <w:rFonts w:eastAsia="Times New Roman" w:cstheme="minorHAnsi"/>
                <w:color w:val="00000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F21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0122B5">
              <w:rPr>
                <w:rFonts w:eastAsia="Times New Roman" w:cstheme="minorHAnsi"/>
                <w:color w:val="000000"/>
              </w:rPr>
              <w:t>US$</w:t>
            </w:r>
            <w:r w:rsidRPr="00FA3DE0">
              <w:rPr>
                <w:rFonts w:eastAsia="Times New Roman" w:cstheme="minorHAnsi"/>
                <w:color w:val="000000"/>
              </w:rPr>
              <w:t>17.26</w:t>
            </w:r>
            <w:r w:rsidRPr="00FA3DE0">
              <w:rPr>
                <w:rFonts w:eastAsia="Times New Roman" w:cstheme="minorHAnsi"/>
                <w:color w:val="000000"/>
              </w:rPr>
              <w:t>‬</w:t>
            </w:r>
          </w:p>
        </w:tc>
      </w:tr>
      <w:tr w:rsidR="00C15459" w:rsidRPr="000122B5" w14:paraId="246226F1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CA5E" w14:textId="77777777" w:rsidR="00C15459" w:rsidRPr="000122B5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Costa</w:t>
            </w:r>
            <w:r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0122B5">
              <w:rPr>
                <w:rFonts w:eastAsia="Times New Roman" w:cstheme="minorHAnsi"/>
                <w:b/>
                <w:color w:val="000000"/>
              </w:rPr>
              <w:t>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1C1D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US$301.28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26591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US$538.19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4E23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179%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3BC1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US$236.91</w:t>
            </w:r>
          </w:p>
        </w:tc>
      </w:tr>
      <w:tr w:rsidR="00C15459" w:rsidRPr="000122B5" w14:paraId="0F0C1745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BE7F" w14:textId="77777777" w:rsidR="00C15459" w:rsidRPr="000122B5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El Salvador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EAE6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US$139.49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4E72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63E5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143%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4B64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US$60.51</w:t>
            </w:r>
          </w:p>
        </w:tc>
      </w:tr>
      <w:tr w:rsidR="00C15459" w:rsidRPr="000122B5" w14:paraId="2ED00DC5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60AC" w14:textId="77777777" w:rsidR="00C15459" w:rsidRPr="000122B5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Guatemala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7F93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US$486.88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031E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7223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81%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7331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-US$91.88</w:t>
            </w:r>
          </w:p>
        </w:tc>
      </w:tr>
      <w:tr w:rsidR="00C15459" w:rsidRPr="000122B5" w14:paraId="2D894BC3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18C7" w14:textId="77777777" w:rsidR="00C15459" w:rsidRPr="000122B5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Honduras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7ECE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US$348.37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900E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6685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84%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1B27D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-US$56.37</w:t>
            </w:r>
          </w:p>
        </w:tc>
      </w:tr>
      <w:tr w:rsidR="00C15459" w:rsidRPr="000122B5" w14:paraId="48678F4A" w14:textId="77777777" w:rsidTr="00D167BE">
        <w:trPr>
          <w:trHeight w:val="315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5654" w14:textId="77777777" w:rsidR="00C15459" w:rsidRPr="000122B5" w:rsidRDefault="00C15459" w:rsidP="00D167B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b/>
                <w:color w:val="000000"/>
              </w:rPr>
              <w:t>Nicaragua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89DD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US$280.29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C9B6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US$124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3092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44%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28A1" w14:textId="77777777" w:rsidR="00C15459" w:rsidRPr="000122B5" w:rsidRDefault="00C15459" w:rsidP="00D167B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/>
              </w:rPr>
            </w:pPr>
            <w:r w:rsidRPr="000122B5">
              <w:rPr>
                <w:rFonts w:eastAsia="Times New Roman" w:cstheme="minorHAnsi"/>
                <w:color w:val="000000"/>
              </w:rPr>
              <w:t>-US$156.29</w:t>
            </w:r>
          </w:p>
        </w:tc>
      </w:tr>
    </w:tbl>
    <w:p w14:paraId="47F0EBD0" w14:textId="77777777" w:rsidR="00E622C1" w:rsidRDefault="00E622C1" w:rsidP="00C15459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es-SV"/>
        </w:rPr>
      </w:pPr>
    </w:p>
    <w:sectPr w:rsidR="00E622C1" w:rsidSect="00C561C8">
      <w:footerReference w:type="default" r:id="rId9"/>
      <w:pgSz w:w="12240" w:h="15840"/>
      <w:pgMar w:top="56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1B3F1" w14:textId="77777777" w:rsidR="00DB720F" w:rsidRDefault="00DB720F" w:rsidP="00770AE5">
      <w:pPr>
        <w:spacing w:after="0" w:line="240" w:lineRule="auto"/>
      </w:pPr>
      <w:r>
        <w:separator/>
      </w:r>
    </w:p>
  </w:endnote>
  <w:endnote w:type="continuationSeparator" w:id="0">
    <w:p w14:paraId="4F9C7BF2" w14:textId="77777777" w:rsidR="00DB720F" w:rsidRDefault="00DB720F" w:rsidP="0077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8EA1" w14:textId="7F83AA21" w:rsidR="00D23A5F" w:rsidRDefault="001765CA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BAE1E8" wp14:editId="7CEF1994">
          <wp:simplePos x="0" y="0"/>
          <wp:positionH relativeFrom="column">
            <wp:posOffset>231140</wp:posOffset>
          </wp:positionH>
          <wp:positionV relativeFrom="paragraph">
            <wp:posOffset>66675</wp:posOffset>
          </wp:positionV>
          <wp:extent cx="1278890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RC_ñ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E4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149053" wp14:editId="42078FA2">
          <wp:simplePos x="0" y="0"/>
          <wp:positionH relativeFrom="column">
            <wp:posOffset>1823085</wp:posOffset>
          </wp:positionH>
          <wp:positionV relativeFrom="paragraph">
            <wp:posOffset>76200</wp:posOffset>
          </wp:positionV>
          <wp:extent cx="1133475" cy="593090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dbb52dc-frame-600x315x1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E49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5F3A7AD" wp14:editId="6A346E65">
          <wp:simplePos x="0" y="0"/>
          <wp:positionH relativeFrom="column">
            <wp:posOffset>3042920</wp:posOffset>
          </wp:positionH>
          <wp:positionV relativeFrom="paragraph">
            <wp:posOffset>142875</wp:posOffset>
          </wp:positionV>
          <wp:extent cx="1104900" cy="5524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noli.f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E49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83C78B9" wp14:editId="7922AB0C">
          <wp:simplePos x="0" y="0"/>
          <wp:positionH relativeFrom="column">
            <wp:posOffset>4461510</wp:posOffset>
          </wp:positionH>
          <wp:positionV relativeFrom="paragraph">
            <wp:posOffset>171450</wp:posOffset>
          </wp:positionV>
          <wp:extent cx="1018540" cy="3714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xfam.f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A438D" w14:textId="6E10A953" w:rsidR="00D23A5F" w:rsidRDefault="00D23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02D2" w14:textId="77777777" w:rsidR="00DB720F" w:rsidRDefault="00DB720F" w:rsidP="00770AE5">
      <w:pPr>
        <w:spacing w:after="0" w:line="240" w:lineRule="auto"/>
      </w:pPr>
      <w:r>
        <w:separator/>
      </w:r>
    </w:p>
  </w:footnote>
  <w:footnote w:type="continuationSeparator" w:id="0">
    <w:p w14:paraId="521B70A9" w14:textId="77777777" w:rsidR="00DB720F" w:rsidRDefault="00DB720F" w:rsidP="00770AE5">
      <w:pPr>
        <w:spacing w:after="0" w:line="240" w:lineRule="auto"/>
      </w:pPr>
      <w:r>
        <w:continuationSeparator/>
      </w:r>
    </w:p>
  </w:footnote>
  <w:footnote w:id="1">
    <w:p w14:paraId="1DE575CE" w14:textId="77777777" w:rsidR="00E622C1" w:rsidRPr="00E622C1" w:rsidRDefault="00E622C1">
      <w:pPr>
        <w:pStyle w:val="Textonotapie"/>
        <w:rPr>
          <w:lang w:val="es-SV"/>
        </w:rPr>
      </w:pPr>
      <w:r>
        <w:rPr>
          <w:rStyle w:val="Refdenotaalpie"/>
        </w:rPr>
        <w:footnoteRef/>
      </w:r>
      <w:r w:rsidRPr="00E622C1">
        <w:rPr>
          <w:lang w:val="es-SV"/>
        </w:rPr>
        <w:t xml:space="preserve"> </w:t>
      </w:r>
      <w:r>
        <w:rPr>
          <w:lang w:val="es-SV"/>
        </w:rPr>
        <w:t>Ver Anexo.</w:t>
      </w:r>
    </w:p>
  </w:footnote>
  <w:footnote w:id="2">
    <w:p w14:paraId="06E5199C" w14:textId="77777777" w:rsidR="00C15459" w:rsidRPr="00C15459" w:rsidRDefault="00C15459">
      <w:pPr>
        <w:pStyle w:val="Textonotapie"/>
        <w:rPr>
          <w:lang w:val="es-SV"/>
        </w:rPr>
      </w:pPr>
      <w:r>
        <w:rPr>
          <w:rStyle w:val="Refdenotaalpie"/>
        </w:rPr>
        <w:footnoteRef/>
      </w:r>
      <w:r w:rsidRPr="00C15459">
        <w:rPr>
          <w:lang w:val="es-SV"/>
        </w:rPr>
        <w:t xml:space="preserve"> </w:t>
      </w:r>
      <w:r>
        <w:rPr>
          <w:lang w:val="es-SV"/>
        </w:rPr>
        <w:t>Ver Anexo.</w:t>
      </w:r>
    </w:p>
  </w:footnote>
  <w:footnote w:id="3">
    <w:p w14:paraId="1E142AE0" w14:textId="77777777" w:rsidR="00C15459" w:rsidRDefault="00C15459" w:rsidP="00C15459">
      <w:pPr>
        <w:spacing w:after="0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F73F18">
        <w:rPr>
          <w:sz w:val="18"/>
          <w:szCs w:val="18"/>
        </w:rPr>
        <w:t>Elaboración propia a partir de datos de: INEC (Costa Rica); Ministerio del Trabajo (Nicaragua); STSS (Honduras); MITRAB (Nicaragua); DIGESTYC (EL Salvador)</w:t>
      </w:r>
      <w:r>
        <w:rPr>
          <w:sz w:val="18"/>
          <w:szCs w:val="18"/>
        </w:rPr>
        <w:t>; I</w:t>
      </w:r>
      <w:r w:rsidRPr="00F73F18">
        <w:rPr>
          <w:sz w:val="18"/>
          <w:szCs w:val="18"/>
        </w:rPr>
        <w:t>NE (Guatemala)</w:t>
      </w:r>
      <w:r>
        <w:rPr>
          <w:sz w:val="18"/>
          <w:szCs w:val="18"/>
        </w:rPr>
        <w:t xml:space="preserve"> y MITRADEL (Panamá).</w:t>
      </w:r>
    </w:p>
    <w:p w14:paraId="06BD8581" w14:textId="77777777" w:rsidR="00C15459" w:rsidRPr="00C561C8" w:rsidRDefault="00C15459" w:rsidP="00C15459">
      <w:pPr>
        <w:pStyle w:val="Textonotapie"/>
        <w:rPr>
          <w:lang w:val="es-SV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F6D97"/>
    <w:multiLevelType w:val="hybridMultilevel"/>
    <w:tmpl w:val="3B7A47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1C"/>
    <w:rsid w:val="00023C37"/>
    <w:rsid w:val="000908B2"/>
    <w:rsid w:val="001436FC"/>
    <w:rsid w:val="001765CA"/>
    <w:rsid w:val="0019460C"/>
    <w:rsid w:val="001A4FBA"/>
    <w:rsid w:val="00235400"/>
    <w:rsid w:val="00272851"/>
    <w:rsid w:val="00494E1C"/>
    <w:rsid w:val="004C04E5"/>
    <w:rsid w:val="004D0CAB"/>
    <w:rsid w:val="004F7A4D"/>
    <w:rsid w:val="00552F5A"/>
    <w:rsid w:val="006A1B0A"/>
    <w:rsid w:val="006B14D5"/>
    <w:rsid w:val="00770AE5"/>
    <w:rsid w:val="00792023"/>
    <w:rsid w:val="0081261A"/>
    <w:rsid w:val="00842FF8"/>
    <w:rsid w:val="00872558"/>
    <w:rsid w:val="008E6B99"/>
    <w:rsid w:val="008E72A3"/>
    <w:rsid w:val="00A80FDF"/>
    <w:rsid w:val="00B12FAF"/>
    <w:rsid w:val="00B17240"/>
    <w:rsid w:val="00B22E49"/>
    <w:rsid w:val="00B259B4"/>
    <w:rsid w:val="00BF5B91"/>
    <w:rsid w:val="00C15459"/>
    <w:rsid w:val="00C561C8"/>
    <w:rsid w:val="00CD18AB"/>
    <w:rsid w:val="00CE26BD"/>
    <w:rsid w:val="00D16C7A"/>
    <w:rsid w:val="00D23A5F"/>
    <w:rsid w:val="00D97F87"/>
    <w:rsid w:val="00DB720F"/>
    <w:rsid w:val="00E11956"/>
    <w:rsid w:val="00E622C1"/>
    <w:rsid w:val="00E962A2"/>
    <w:rsid w:val="00F07C11"/>
    <w:rsid w:val="00F1307F"/>
    <w:rsid w:val="00F34EF2"/>
    <w:rsid w:val="00FA3DE0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B8A36"/>
  <w15:chartTrackingRefBased/>
  <w15:docId w15:val="{FF260664-F6E6-4E47-96E5-57DD946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E1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Fuentedeprrafopredeter"/>
    <w:rsid w:val="00770AE5"/>
  </w:style>
  <w:style w:type="paragraph" w:styleId="Textonotapie">
    <w:name w:val="footnote text"/>
    <w:basedOn w:val="Normal"/>
    <w:link w:val="TextonotapieCar"/>
    <w:uiPriority w:val="99"/>
    <w:unhideWhenUsed/>
    <w:rsid w:val="00770AE5"/>
    <w:pPr>
      <w:spacing w:after="0" w:line="240" w:lineRule="auto"/>
    </w:pPr>
    <w:rPr>
      <w:rFonts w:ascii="Georgia" w:eastAsia="Calibri" w:hAnsi="Georgia" w:cs="Times New Roman"/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0AE5"/>
    <w:rPr>
      <w:rFonts w:ascii="Georgia" w:eastAsia="Calibri" w:hAnsi="Georgia" w:cs="Times New Roman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unhideWhenUsed/>
    <w:rsid w:val="00770A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D0CAB"/>
    <w:pPr>
      <w:ind w:left="720"/>
      <w:contextualSpacing/>
    </w:pPr>
  </w:style>
  <w:style w:type="paragraph" w:customStyle="1" w:styleId="Default">
    <w:name w:val="Default"/>
    <w:rsid w:val="006A1B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23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A5F"/>
  </w:style>
  <w:style w:type="paragraph" w:styleId="Piedepgina">
    <w:name w:val="footer"/>
    <w:basedOn w:val="Normal"/>
    <w:link w:val="PiedepginaCar"/>
    <w:uiPriority w:val="99"/>
    <w:unhideWhenUsed/>
    <w:rsid w:val="00D23A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Pro17</b:Tag>
    <b:SourceType>Book</b:SourceType>
    <b:Guid>{79FA2043-7AF1-4F4E-8448-4C38AC49D01F}</b:Guid>
    <b:Author>
      <b:Author>
        <b:NameList>
          <b:Person>
            <b:Last>(PDRR)</b:Last>
            <b:First>Programa</b:First>
            <b:Middle>Diálogo Regional Rural</b:Middle>
          </b:Person>
        </b:NameList>
      </b:Author>
    </b:Author>
    <b:Title>Política de Agricultura Familiar Campesina, Indígena y Afrodescendiente Regional 2018-2030 </b:Title>
    <b:Year>2017</b:Year>
    <b:City>San Salvador</b:City>
    <b:RefOrder>1</b:RefOrder>
  </b:Source>
  <b:Source>
    <b:Tag>Com11</b:Tag>
    <b:SourceType>Book</b:SourceType>
    <b:Guid>{2DAE473B-8A6E-4703-95F4-82942ED86204}</b:Guid>
    <b:Author>
      <b:Author>
        <b:Corporate>Comisión Económica para América Latina [CEPAL]</b:Corporate>
      </b:Author>
    </b:Author>
    <b:Title>Productividad Agrícola de la Mujer Rural en Centroamérica y México</b:Title>
    <b:Year>2011</b:Year>
    <b:City>México D.F. </b:City>
    <b:RefOrder>2</b:RefOrder>
  </b:Source>
  <b:Source>
    <b:Tag>Pro19</b:Tag>
    <b:SourceType>Report</b:SourceType>
    <b:Guid>{FDB2E996-15C8-4F87-BD89-C6AF2A94DF6D}</b:Guid>
    <b:Author>
      <b:Author>
        <b:Corporate>Programa de Sistemas de Información para la Resiliencia de la Seguridad Alimentaria y Nutricional de la Región del SICA [PROGRESAN-SICA]</b:Corporate>
      </b:Author>
    </b:Author>
    <b:Title>Boletín de Noticias sobre Seguridad Alimentaria y Nutricional en la Región del SICA</b:Title>
    <b:Year>2019</b:Year>
    <b:City>El Salvador</b:City>
    <b:RefOrder>3</b:RefOrder>
  </b:Source>
  <b:Source>
    <b:Tag>SER19</b:Tag>
    <b:SourceType>InternetSite</b:SourceType>
    <b:Guid>{0C1A42DC-3935-454A-86C3-2657C549D5B5}</b:Guid>
    <b:Author>
      <b:Author>
        <b:NameList>
          <b:Person>
            <b:Last>(SERVINDI)</b:Last>
            <b:First>Servicios</b:First>
            <b:Middle>en comunicación Intercultural</b:Middle>
          </b:Person>
        </b:NameList>
      </b:Author>
    </b:Author>
    <b:Title>Más de 2 millones de agricultores perdieron sus cultivos</b:Title>
    <b:Year>2019</b:Year>
    <b:InternetSiteTitle>servindi.org</b:InternetSiteTitle>
    <b:Month>Abril</b:Month>
    <b:Day>26</b:Day>
    <b:URL>https://www.servindi.org/actualidad-noticias/26/04/2019/mas-de-2-millones-de-agricultores-perdieron-sus-cultivos-en</b:URL>
    <b:RefOrder>4</b:RefOrder>
  </b:Source>
  <b:Source>
    <b:Tag>Org18</b:Tag>
    <b:SourceType>InternetSite</b:SourceType>
    <b:Guid>{891A4DFB-E0E0-496F-BFEF-47667D94C446}</b:Guid>
    <b:Author>
      <b:Author>
        <b:Corporate>Organización Panamericana de la Salud [OPS]</b:Corporate>
      </b:Author>
    </b:Author>
    <b:Title>OPS Guatemala</b:Title>
    <b:Year>2018</b:Year>
    <b:Month>Septiembre</b:Month>
    <b:Day>11</b:Day>
    <b:URL>https://www.paho.org/gut/index.php?option=com_content&amp;view=article&amp;id=1122:foro-sobre-prevencion-de-sobrepeso-y-obesidad-en-centroamerica-y-republica-dominicana&amp;Itemid=441</b:URL>
    <b:RefOrder>5</b:RefOrder>
  </b:Source>
</b:Sources>
</file>

<file path=customXml/itemProps1.xml><?xml version="1.0" encoding="utf-8"?>
<ds:datastoreItem xmlns:ds="http://schemas.openxmlformats.org/officeDocument/2006/customXml" ds:itemID="{885F196C-6EA3-4FAB-A412-239DD6EE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Liinu Diaz-Rämö</cp:lastModifiedBy>
  <cp:revision>2</cp:revision>
  <cp:lastPrinted>2020-02-21T20:18:00Z</cp:lastPrinted>
  <dcterms:created xsi:type="dcterms:W3CDTF">2020-03-02T15:52:00Z</dcterms:created>
  <dcterms:modified xsi:type="dcterms:W3CDTF">2020-03-02T15:52:00Z</dcterms:modified>
</cp:coreProperties>
</file>